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E2715" w14:textId="6AC8BAA5" w:rsidR="00097457" w:rsidRDefault="00E06DD8" w:rsidP="0015673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97457">
        <w:rPr>
          <w:rFonts w:ascii="Arial" w:hAnsi="Arial" w:cs="Arial"/>
          <w:b/>
          <w:sz w:val="24"/>
          <w:szCs w:val="24"/>
        </w:rPr>
        <w:t xml:space="preserve">Cost </w:t>
      </w:r>
      <w:r w:rsidR="00097457" w:rsidRPr="00097457">
        <w:rPr>
          <w:rFonts w:ascii="Arial" w:hAnsi="Arial" w:cs="Arial"/>
          <w:b/>
          <w:sz w:val="24"/>
          <w:szCs w:val="24"/>
        </w:rPr>
        <w:t>Proposal</w:t>
      </w:r>
    </w:p>
    <w:p w14:paraId="31AD3046" w14:textId="49CE9D6E" w:rsidR="0015673E" w:rsidRDefault="0015673E" w:rsidP="0015673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05D55">
        <w:rPr>
          <w:rFonts w:ascii="Arial" w:hAnsi="Arial" w:cs="Arial"/>
          <w:b/>
          <w:sz w:val="24"/>
          <w:szCs w:val="24"/>
        </w:rPr>
        <w:t xml:space="preserve">RFP </w:t>
      </w:r>
      <w:r w:rsidR="00DA40D3" w:rsidRPr="00D05D55">
        <w:rPr>
          <w:rFonts w:ascii="Arial" w:hAnsi="Arial" w:cs="Arial"/>
          <w:b/>
          <w:sz w:val="24"/>
          <w:szCs w:val="24"/>
        </w:rPr>
        <w:t>6416</w:t>
      </w:r>
      <w:r>
        <w:rPr>
          <w:rFonts w:ascii="Arial" w:hAnsi="Arial" w:cs="Arial"/>
          <w:b/>
          <w:sz w:val="24"/>
          <w:szCs w:val="24"/>
        </w:rPr>
        <w:t xml:space="preserve"> Z1</w:t>
      </w:r>
    </w:p>
    <w:p w14:paraId="0C1D31BE" w14:textId="0610EDF4" w:rsidR="0015673E" w:rsidRDefault="0015673E" w:rsidP="0015673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Contact Tracing Staffing</w:t>
      </w:r>
    </w:p>
    <w:p w14:paraId="0869D641" w14:textId="77777777" w:rsidR="0015673E" w:rsidRPr="00097457" w:rsidRDefault="0015673E" w:rsidP="00097457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1BD2E0EB" w14:textId="6930D34B" w:rsidR="002A3344" w:rsidRDefault="0015673E" w:rsidP="0015673E">
      <w:pPr>
        <w:ind w:left="360" w:righ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Bidders </w:t>
      </w:r>
      <w:r w:rsidR="00A9276D">
        <w:rPr>
          <w:rFonts w:ascii="Arial" w:hAnsi="Arial" w:cs="Arial"/>
          <w:sz w:val="20"/>
          <w:szCs w:val="20"/>
        </w:rPr>
        <w:t>must</w:t>
      </w:r>
      <w:r>
        <w:rPr>
          <w:rFonts w:ascii="Arial" w:hAnsi="Arial" w:cs="Arial"/>
          <w:sz w:val="20"/>
          <w:szCs w:val="20"/>
        </w:rPr>
        <w:t xml:space="preserve"> complete the tables below according to the instructions in each section. Costs must be inclusive of all expenses, including personnel</w:t>
      </w:r>
      <w:r w:rsidR="001C570A">
        <w:rPr>
          <w:rFonts w:ascii="Arial" w:hAnsi="Arial" w:cs="Arial"/>
          <w:sz w:val="20"/>
          <w:szCs w:val="20"/>
        </w:rPr>
        <w:t>, administrative,</w:t>
      </w:r>
      <w:r>
        <w:rPr>
          <w:rFonts w:ascii="Arial" w:hAnsi="Arial" w:cs="Arial"/>
          <w:sz w:val="20"/>
          <w:szCs w:val="20"/>
        </w:rPr>
        <w:t xml:space="preserve"> and travel.</w:t>
      </w:r>
    </w:p>
    <w:p w14:paraId="1126DCA9" w14:textId="77777777" w:rsidR="006D0FE4" w:rsidRPr="00097457" w:rsidRDefault="006D0FE4" w:rsidP="0015673E">
      <w:pPr>
        <w:ind w:left="360" w:right="360"/>
        <w:rPr>
          <w:rFonts w:ascii="Arial" w:hAnsi="Arial" w:cs="Arial"/>
          <w:sz w:val="20"/>
          <w:szCs w:val="20"/>
        </w:rPr>
      </w:pPr>
    </w:p>
    <w:p w14:paraId="318DA009" w14:textId="45B0DF88" w:rsidR="006D0FE4" w:rsidRPr="006D0FE4" w:rsidRDefault="006D0FE4" w:rsidP="006D0FE4">
      <w:pPr>
        <w:pStyle w:val="Caption"/>
        <w:keepNext/>
        <w:ind w:firstLine="360"/>
        <w:rPr>
          <w:rFonts w:ascii="Arial" w:hAnsi="Arial" w:cs="Arial"/>
          <w:i w:val="0"/>
          <w:color w:val="auto"/>
          <w:sz w:val="20"/>
          <w:szCs w:val="20"/>
        </w:rPr>
      </w:pPr>
      <w:r w:rsidRPr="006D0FE4">
        <w:rPr>
          <w:rFonts w:ascii="Arial" w:hAnsi="Arial" w:cs="Arial"/>
          <w:i w:val="0"/>
          <w:color w:val="auto"/>
          <w:sz w:val="20"/>
          <w:szCs w:val="20"/>
        </w:rPr>
        <w:t xml:space="preserve">Table 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fldChar w:fldCharType="begin"/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instrText xml:space="preserve"> SEQ Table \* ARABIC </w:instrTex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fldChar w:fldCharType="separate"/>
      </w:r>
      <w:r w:rsidRPr="006D0FE4">
        <w:rPr>
          <w:rFonts w:ascii="Arial" w:hAnsi="Arial" w:cs="Arial"/>
          <w:i w:val="0"/>
          <w:noProof/>
          <w:color w:val="auto"/>
          <w:sz w:val="20"/>
          <w:szCs w:val="20"/>
        </w:rPr>
        <w:t>1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fldChar w:fldCharType="end"/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>: Scheduled</w:t>
      </w:r>
      <w:r w:rsidR="00FB4DFB">
        <w:rPr>
          <w:rFonts w:ascii="Arial" w:hAnsi="Arial" w:cs="Arial"/>
          <w:i w:val="0"/>
          <w:color w:val="auto"/>
          <w:sz w:val="20"/>
          <w:szCs w:val="20"/>
        </w:rPr>
        <w:t xml:space="preserve"> Staff Hourly Rate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 xml:space="preserve"> – Bidder must provide a rate per hour for Scheduled individuals</w:t>
      </w:r>
      <w:r w:rsidR="00EE039E">
        <w:rPr>
          <w:rFonts w:ascii="Arial" w:hAnsi="Arial" w:cs="Arial"/>
          <w:i w:val="0"/>
          <w:color w:val="auto"/>
          <w:sz w:val="20"/>
          <w:szCs w:val="20"/>
        </w:rPr>
        <w:t>.  For purposes of evaluation, the state will calculate the hourly rate for 25 individuals at 40 hours per week.</w:t>
      </w:r>
    </w:p>
    <w:tbl>
      <w:tblPr>
        <w:tblW w:w="0" w:type="auto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3"/>
        <w:gridCol w:w="2165"/>
        <w:gridCol w:w="2040"/>
        <w:gridCol w:w="2040"/>
        <w:gridCol w:w="1822"/>
      </w:tblGrid>
      <w:tr w:rsidR="00097457" w:rsidRPr="00097457" w14:paraId="21CBBC56" w14:textId="45909D76" w:rsidTr="00F83604">
        <w:trPr>
          <w:jc w:val="center"/>
        </w:trPr>
        <w:tc>
          <w:tcPr>
            <w:tcW w:w="1873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5D0F3" w14:textId="0CDCA546" w:rsidR="00097457" w:rsidRPr="00F83604" w:rsidRDefault="00097457" w:rsidP="0015673E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65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DE234" w14:textId="25AFBA84" w:rsidR="00097457" w:rsidRPr="00F83604" w:rsidRDefault="00097457" w:rsidP="0015673E">
            <w:pPr>
              <w:ind w:righ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Initial Term</w:t>
            </w:r>
          </w:p>
        </w:tc>
        <w:tc>
          <w:tcPr>
            <w:tcW w:w="2040" w:type="dxa"/>
            <w:shd w:val="clear" w:color="auto" w:fill="BFBFBF" w:themeFill="background1" w:themeFillShade="BF"/>
          </w:tcPr>
          <w:p w14:paraId="41CBB85F" w14:textId="4D2F13F2" w:rsidR="00097457" w:rsidRPr="00F83604" w:rsidRDefault="00097457" w:rsidP="0015673E">
            <w:pPr>
              <w:ind w:righ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Renewal 1</w:t>
            </w:r>
          </w:p>
        </w:tc>
        <w:tc>
          <w:tcPr>
            <w:tcW w:w="2040" w:type="dxa"/>
            <w:shd w:val="clear" w:color="auto" w:fill="BFBFBF" w:themeFill="background1" w:themeFillShade="BF"/>
          </w:tcPr>
          <w:p w14:paraId="3E173746" w14:textId="6D50CEF6" w:rsidR="00097457" w:rsidRPr="00F83604" w:rsidRDefault="00097457" w:rsidP="0015673E">
            <w:pPr>
              <w:ind w:righ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Renewal 2</w:t>
            </w:r>
          </w:p>
        </w:tc>
        <w:tc>
          <w:tcPr>
            <w:tcW w:w="1822" w:type="dxa"/>
            <w:shd w:val="clear" w:color="auto" w:fill="BFBFBF" w:themeFill="background1" w:themeFillShade="BF"/>
          </w:tcPr>
          <w:p w14:paraId="57F59BF8" w14:textId="1AAD0DE6" w:rsidR="00097457" w:rsidRPr="00F83604" w:rsidRDefault="00097457" w:rsidP="0015673E">
            <w:pPr>
              <w:ind w:righ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Renewal 3</w:t>
            </w:r>
          </w:p>
        </w:tc>
      </w:tr>
      <w:tr w:rsidR="00097457" w:rsidRPr="00097457" w14:paraId="3AC106C4" w14:textId="046D6CB6" w:rsidTr="00F83604">
        <w:trPr>
          <w:jc w:val="center"/>
        </w:trPr>
        <w:tc>
          <w:tcPr>
            <w:tcW w:w="18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4E1BF" w14:textId="6F3774D3" w:rsidR="00097457" w:rsidRPr="00097457" w:rsidRDefault="00097457" w:rsidP="0015673E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7457">
              <w:rPr>
                <w:rFonts w:ascii="Arial" w:hAnsi="Arial" w:cs="Arial"/>
                <w:b/>
                <w:bCs/>
                <w:sz w:val="20"/>
                <w:szCs w:val="20"/>
              </w:rPr>
              <w:t>Hourly Rate</w:t>
            </w:r>
          </w:p>
        </w:tc>
        <w:tc>
          <w:tcPr>
            <w:tcW w:w="21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52032" w14:textId="2648F3B4" w:rsidR="00097457" w:rsidRPr="00097457" w:rsidRDefault="00097457" w:rsidP="0015673E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097457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2040" w:type="dxa"/>
          </w:tcPr>
          <w:p w14:paraId="524B557E" w14:textId="57BA12D0" w:rsidR="00097457" w:rsidRPr="00097457" w:rsidRDefault="00097457" w:rsidP="0015673E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097457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2040" w:type="dxa"/>
          </w:tcPr>
          <w:p w14:paraId="55E97765" w14:textId="187087E9" w:rsidR="00097457" w:rsidRPr="00097457" w:rsidRDefault="00097457" w:rsidP="0015673E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097457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822" w:type="dxa"/>
          </w:tcPr>
          <w:p w14:paraId="74F04001" w14:textId="301AC106" w:rsidR="00097457" w:rsidRPr="00097457" w:rsidRDefault="00097457" w:rsidP="0015673E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097457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</w:tbl>
    <w:p w14:paraId="0CAA7F2F" w14:textId="19AE9410" w:rsidR="00097457" w:rsidRDefault="00097457" w:rsidP="0015673E">
      <w:pPr>
        <w:pStyle w:val="ListParagraph"/>
        <w:tabs>
          <w:tab w:val="left" w:pos="840"/>
        </w:tabs>
        <w:spacing w:before="36" w:line="240" w:lineRule="exact"/>
        <w:ind w:left="1200" w:right="360"/>
        <w:jc w:val="both"/>
        <w:rPr>
          <w:rFonts w:ascii="Arial" w:hAnsi="Arial" w:cs="Arial"/>
        </w:rPr>
      </w:pPr>
    </w:p>
    <w:p w14:paraId="5972F6FD" w14:textId="77777777" w:rsidR="006D0FE4" w:rsidRPr="00097457" w:rsidRDefault="006D0FE4" w:rsidP="0015673E">
      <w:pPr>
        <w:pStyle w:val="ListParagraph"/>
        <w:tabs>
          <w:tab w:val="left" w:pos="840"/>
        </w:tabs>
        <w:spacing w:before="36" w:line="240" w:lineRule="exact"/>
        <w:ind w:left="1200" w:right="360"/>
        <w:jc w:val="both"/>
        <w:rPr>
          <w:rFonts w:ascii="Arial" w:hAnsi="Arial" w:cs="Arial"/>
        </w:rPr>
      </w:pPr>
    </w:p>
    <w:p w14:paraId="6A2A5762" w14:textId="0FB431CE" w:rsidR="006D0FE4" w:rsidRPr="006D0FE4" w:rsidRDefault="006D0FE4" w:rsidP="006D0FE4">
      <w:pPr>
        <w:pStyle w:val="Caption"/>
        <w:keepNext/>
        <w:ind w:left="360"/>
        <w:rPr>
          <w:rFonts w:ascii="Arial" w:hAnsi="Arial" w:cs="Arial"/>
          <w:i w:val="0"/>
          <w:color w:val="auto"/>
          <w:sz w:val="20"/>
          <w:szCs w:val="20"/>
        </w:rPr>
      </w:pPr>
      <w:r w:rsidRPr="006D0FE4">
        <w:rPr>
          <w:rFonts w:ascii="Arial" w:hAnsi="Arial" w:cs="Arial"/>
          <w:i w:val="0"/>
          <w:color w:val="auto"/>
          <w:sz w:val="20"/>
          <w:szCs w:val="20"/>
        </w:rPr>
        <w:t xml:space="preserve">Table 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fldChar w:fldCharType="begin"/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instrText xml:space="preserve"> SEQ Table \* ARABIC </w:instrTex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fldChar w:fldCharType="separate"/>
      </w:r>
      <w:r w:rsidRPr="006D0FE4">
        <w:rPr>
          <w:rFonts w:ascii="Arial" w:hAnsi="Arial" w:cs="Arial"/>
          <w:i w:val="0"/>
          <w:noProof/>
          <w:color w:val="auto"/>
          <w:sz w:val="20"/>
          <w:szCs w:val="20"/>
        </w:rPr>
        <w:t>2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fldChar w:fldCharType="end"/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>: Training</w:t>
      </w:r>
      <w:r w:rsidR="00B1724D">
        <w:rPr>
          <w:rFonts w:ascii="Arial" w:hAnsi="Arial" w:cs="Arial"/>
          <w:i w:val="0"/>
          <w:color w:val="auto"/>
          <w:sz w:val="20"/>
          <w:szCs w:val="20"/>
        </w:rPr>
        <w:t xml:space="preserve"> </w:t>
      </w:r>
      <w:r w:rsidR="009B004D">
        <w:rPr>
          <w:rFonts w:ascii="Arial" w:hAnsi="Arial" w:cs="Arial"/>
          <w:i w:val="0"/>
          <w:color w:val="auto"/>
          <w:sz w:val="20"/>
          <w:szCs w:val="20"/>
        </w:rPr>
        <w:t xml:space="preserve">Scheduled </w:t>
      </w:r>
      <w:r w:rsidR="00B1724D">
        <w:rPr>
          <w:rFonts w:ascii="Arial" w:hAnsi="Arial" w:cs="Arial"/>
          <w:i w:val="0"/>
          <w:color w:val="auto"/>
          <w:sz w:val="20"/>
          <w:szCs w:val="20"/>
        </w:rPr>
        <w:t xml:space="preserve">and </w:t>
      </w:r>
      <w:r w:rsidR="009B004D">
        <w:rPr>
          <w:rFonts w:ascii="Arial" w:hAnsi="Arial" w:cs="Arial"/>
          <w:i w:val="0"/>
          <w:color w:val="auto"/>
          <w:sz w:val="20"/>
          <w:szCs w:val="20"/>
        </w:rPr>
        <w:t>Backup Staff</w:t>
      </w:r>
      <w:r w:rsidR="009B004D" w:rsidRPr="006D0FE4">
        <w:rPr>
          <w:rFonts w:ascii="Arial" w:hAnsi="Arial" w:cs="Arial"/>
          <w:i w:val="0"/>
          <w:color w:val="auto"/>
          <w:sz w:val="20"/>
          <w:szCs w:val="20"/>
        </w:rPr>
        <w:t xml:space="preserve"> 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>– Bidder must provide a rate per hour for per training hour per individual required by the State to perform contact tracing role</w:t>
      </w:r>
      <w:r w:rsidR="00EE039E">
        <w:rPr>
          <w:rFonts w:ascii="Arial" w:hAnsi="Arial" w:cs="Arial"/>
          <w:i w:val="0"/>
          <w:color w:val="auto"/>
          <w:sz w:val="20"/>
          <w:szCs w:val="20"/>
        </w:rPr>
        <w:t>. For purposes of evaluation, the state will estimate 4 hours of training for 425 individuals.</w:t>
      </w:r>
    </w:p>
    <w:tbl>
      <w:tblPr>
        <w:tblW w:w="0" w:type="auto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3"/>
        <w:gridCol w:w="2165"/>
        <w:gridCol w:w="2040"/>
        <w:gridCol w:w="2040"/>
        <w:gridCol w:w="1822"/>
      </w:tblGrid>
      <w:tr w:rsidR="00097457" w:rsidRPr="00097457" w14:paraId="025ADE9A" w14:textId="77777777" w:rsidTr="00F83604">
        <w:trPr>
          <w:jc w:val="center"/>
        </w:trPr>
        <w:tc>
          <w:tcPr>
            <w:tcW w:w="1873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6BC6E" w14:textId="77777777" w:rsidR="00097457" w:rsidRPr="00F83604" w:rsidRDefault="00097457" w:rsidP="0015673E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5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7A600" w14:textId="77777777" w:rsidR="00097457" w:rsidRPr="00F83604" w:rsidRDefault="00097457" w:rsidP="0015673E">
            <w:pPr>
              <w:ind w:righ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Initial Term</w:t>
            </w:r>
          </w:p>
        </w:tc>
        <w:tc>
          <w:tcPr>
            <w:tcW w:w="2040" w:type="dxa"/>
            <w:shd w:val="clear" w:color="auto" w:fill="BFBFBF" w:themeFill="background1" w:themeFillShade="BF"/>
          </w:tcPr>
          <w:p w14:paraId="7357FFE6" w14:textId="77777777" w:rsidR="00097457" w:rsidRPr="00F83604" w:rsidRDefault="00097457" w:rsidP="0015673E">
            <w:pPr>
              <w:ind w:righ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Renewal 1</w:t>
            </w:r>
          </w:p>
        </w:tc>
        <w:tc>
          <w:tcPr>
            <w:tcW w:w="2040" w:type="dxa"/>
            <w:shd w:val="clear" w:color="auto" w:fill="BFBFBF" w:themeFill="background1" w:themeFillShade="BF"/>
          </w:tcPr>
          <w:p w14:paraId="120119B6" w14:textId="77777777" w:rsidR="00097457" w:rsidRPr="00F83604" w:rsidRDefault="00097457" w:rsidP="0015673E">
            <w:pPr>
              <w:ind w:righ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Renewal 2</w:t>
            </w:r>
          </w:p>
        </w:tc>
        <w:tc>
          <w:tcPr>
            <w:tcW w:w="1822" w:type="dxa"/>
            <w:shd w:val="clear" w:color="auto" w:fill="BFBFBF" w:themeFill="background1" w:themeFillShade="BF"/>
          </w:tcPr>
          <w:p w14:paraId="4F441809" w14:textId="77777777" w:rsidR="00097457" w:rsidRPr="00F83604" w:rsidRDefault="00097457" w:rsidP="0015673E">
            <w:pPr>
              <w:ind w:righ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Renewal 3</w:t>
            </w:r>
          </w:p>
        </w:tc>
      </w:tr>
      <w:tr w:rsidR="00097457" w:rsidRPr="00097457" w14:paraId="688DE2A3" w14:textId="77777777" w:rsidTr="00F83604">
        <w:trPr>
          <w:jc w:val="center"/>
        </w:trPr>
        <w:tc>
          <w:tcPr>
            <w:tcW w:w="18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A5870" w14:textId="77777777" w:rsidR="00097457" w:rsidRPr="00F83604" w:rsidRDefault="00097457" w:rsidP="0015673E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Hourly Rate</w:t>
            </w:r>
          </w:p>
        </w:tc>
        <w:tc>
          <w:tcPr>
            <w:tcW w:w="21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FBE1E" w14:textId="77777777" w:rsidR="00097457" w:rsidRPr="00F83604" w:rsidRDefault="00097457" w:rsidP="0015673E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2040" w:type="dxa"/>
          </w:tcPr>
          <w:p w14:paraId="5AED785D" w14:textId="77777777" w:rsidR="00097457" w:rsidRPr="00F83604" w:rsidRDefault="00097457" w:rsidP="0015673E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2040" w:type="dxa"/>
          </w:tcPr>
          <w:p w14:paraId="632F5E1A" w14:textId="77777777" w:rsidR="00097457" w:rsidRPr="00F83604" w:rsidRDefault="00097457" w:rsidP="0015673E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822" w:type="dxa"/>
          </w:tcPr>
          <w:p w14:paraId="2B39EEE0" w14:textId="77777777" w:rsidR="00097457" w:rsidRPr="00F83604" w:rsidRDefault="00097457" w:rsidP="0015673E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</w:tbl>
    <w:p w14:paraId="6E9D9DAC" w14:textId="77777777" w:rsidR="00097457" w:rsidRPr="00097457" w:rsidRDefault="00097457" w:rsidP="0015673E">
      <w:pPr>
        <w:pStyle w:val="ListParagraph"/>
        <w:tabs>
          <w:tab w:val="left" w:pos="840"/>
        </w:tabs>
        <w:spacing w:before="36" w:line="240" w:lineRule="exact"/>
        <w:ind w:left="1200" w:right="360"/>
        <w:jc w:val="both"/>
        <w:rPr>
          <w:rFonts w:ascii="Arial" w:hAnsi="Arial" w:cs="Arial"/>
        </w:rPr>
      </w:pPr>
    </w:p>
    <w:p w14:paraId="0D3A1F5A" w14:textId="77777777" w:rsidR="00D66770" w:rsidRPr="00D66770" w:rsidRDefault="00D66770" w:rsidP="00D66770">
      <w:pPr>
        <w:pStyle w:val="ListParagraph"/>
        <w:tabs>
          <w:tab w:val="left" w:pos="840"/>
        </w:tabs>
        <w:spacing w:before="36" w:line="240" w:lineRule="exact"/>
        <w:ind w:left="810" w:right="360"/>
        <w:jc w:val="both"/>
        <w:rPr>
          <w:rFonts w:ascii="Arial" w:hAnsi="Arial" w:cs="Arial"/>
        </w:rPr>
      </w:pPr>
    </w:p>
    <w:p w14:paraId="12B4486F" w14:textId="53556DDE" w:rsidR="006D0FE4" w:rsidRPr="006D0FE4" w:rsidRDefault="006D0FE4" w:rsidP="006D0FE4">
      <w:pPr>
        <w:pStyle w:val="Caption"/>
        <w:keepNext/>
        <w:ind w:left="360"/>
        <w:rPr>
          <w:rFonts w:ascii="Arial" w:hAnsi="Arial" w:cs="Arial"/>
          <w:i w:val="0"/>
          <w:color w:val="auto"/>
          <w:sz w:val="20"/>
          <w:szCs w:val="20"/>
        </w:rPr>
      </w:pPr>
      <w:r w:rsidRPr="006D0FE4">
        <w:rPr>
          <w:rFonts w:ascii="Arial" w:hAnsi="Arial" w:cs="Arial"/>
          <w:i w:val="0"/>
          <w:color w:val="auto"/>
          <w:sz w:val="20"/>
          <w:szCs w:val="20"/>
        </w:rPr>
        <w:t xml:space="preserve">Table 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fldChar w:fldCharType="begin"/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instrText xml:space="preserve"> SEQ Table \* ARABIC </w:instrTex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fldChar w:fldCharType="separate"/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>3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fldChar w:fldCharType="end"/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>: Backup Capacity – Bidder must provide a flat rate for backup capacity for each tier listed below.</w:t>
      </w:r>
    </w:p>
    <w:p w14:paraId="27C2F25B" w14:textId="0EE75FB1" w:rsidR="006D0FE4" w:rsidRPr="006D0FE4" w:rsidRDefault="006D0FE4" w:rsidP="006D0FE4">
      <w:pPr>
        <w:pStyle w:val="Caption"/>
        <w:keepNext/>
        <w:ind w:left="360"/>
        <w:rPr>
          <w:rFonts w:ascii="Arial" w:hAnsi="Arial" w:cs="Arial"/>
          <w:i w:val="0"/>
          <w:color w:val="auto"/>
          <w:sz w:val="20"/>
          <w:szCs w:val="20"/>
        </w:rPr>
      </w:pPr>
      <w:r w:rsidRPr="006D0FE4">
        <w:rPr>
          <w:rFonts w:ascii="Arial" w:hAnsi="Arial" w:cs="Arial"/>
          <w:i w:val="0"/>
          <w:color w:val="auto"/>
          <w:sz w:val="20"/>
          <w:szCs w:val="20"/>
        </w:rPr>
        <w:t xml:space="preserve">Bidders must be able to provide at minimum 400 Backup Head Count. If able, Bidder should provide pricing for additional tiers up to 1,000 Backup Head Count. Cost </w:t>
      </w:r>
      <w:r w:rsidR="009B004D">
        <w:rPr>
          <w:rFonts w:ascii="Arial" w:hAnsi="Arial" w:cs="Arial"/>
          <w:i w:val="0"/>
          <w:color w:val="auto"/>
          <w:sz w:val="20"/>
          <w:szCs w:val="20"/>
        </w:rPr>
        <w:t>e</w:t>
      </w:r>
      <w:r w:rsidR="009B004D" w:rsidRPr="006D0FE4">
        <w:rPr>
          <w:rFonts w:ascii="Arial" w:hAnsi="Arial" w:cs="Arial"/>
          <w:i w:val="0"/>
          <w:color w:val="auto"/>
          <w:sz w:val="20"/>
          <w:szCs w:val="20"/>
        </w:rPr>
        <w:t xml:space="preserve">valuation 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 xml:space="preserve">will be calculated based on </w:t>
      </w:r>
      <w:r w:rsidR="00EE039E">
        <w:rPr>
          <w:rFonts w:ascii="Arial" w:hAnsi="Arial" w:cs="Arial"/>
          <w:i w:val="0"/>
          <w:color w:val="auto"/>
          <w:sz w:val="20"/>
          <w:szCs w:val="20"/>
        </w:rPr>
        <w:t xml:space="preserve">the average of 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>Tier One and Tier Two.</w:t>
      </w:r>
    </w:p>
    <w:tbl>
      <w:tblPr>
        <w:tblW w:w="0" w:type="auto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9"/>
        <w:gridCol w:w="2301"/>
        <w:gridCol w:w="1890"/>
        <w:gridCol w:w="1710"/>
        <w:gridCol w:w="1710"/>
        <w:gridCol w:w="1710"/>
      </w:tblGrid>
      <w:tr w:rsidR="00D66770" w:rsidRPr="00097457" w14:paraId="5A943A8A" w14:textId="77777777" w:rsidTr="00F83604">
        <w:trPr>
          <w:jc w:val="center"/>
        </w:trPr>
        <w:tc>
          <w:tcPr>
            <w:tcW w:w="939" w:type="dxa"/>
            <w:shd w:val="clear" w:color="auto" w:fill="BFBFBF" w:themeFill="background1" w:themeFillShade="BF"/>
          </w:tcPr>
          <w:p w14:paraId="07FC7CE8" w14:textId="77777777" w:rsidR="00D66770" w:rsidRPr="00F83604" w:rsidRDefault="00D66770" w:rsidP="00F275E2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Tier #</w:t>
            </w:r>
          </w:p>
        </w:tc>
        <w:tc>
          <w:tcPr>
            <w:tcW w:w="2301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088C6" w14:textId="6FA4E6D4" w:rsidR="00D66770" w:rsidRPr="00F83604" w:rsidRDefault="00D66770" w:rsidP="00F275E2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Backup Head Count </w:t>
            </w:r>
            <w:r w:rsidR="00CD540A">
              <w:rPr>
                <w:rFonts w:ascii="Arial" w:hAnsi="Arial" w:cs="Arial"/>
                <w:b/>
                <w:bCs/>
                <w:sz w:val="20"/>
                <w:szCs w:val="20"/>
              </w:rPr>
              <w:t>(200 per tier)</w:t>
            </w:r>
          </w:p>
        </w:tc>
        <w:tc>
          <w:tcPr>
            <w:tcW w:w="1890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C127C" w14:textId="77777777" w:rsidR="00D66770" w:rsidRPr="00F83604" w:rsidRDefault="00D66770" w:rsidP="00F83604">
            <w:pPr>
              <w:ind w:right="-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Monthly Price Initial Term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14:paraId="567DF0F1" w14:textId="77777777" w:rsidR="00D66770" w:rsidRPr="00F83604" w:rsidRDefault="00D66770" w:rsidP="00F83604">
            <w:pPr>
              <w:ind w:right="-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Monthly Price Renewal 1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14:paraId="38913BD9" w14:textId="77777777" w:rsidR="00D66770" w:rsidRPr="00F83604" w:rsidRDefault="00D66770" w:rsidP="00F83604">
            <w:pPr>
              <w:ind w:right="-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Monthly Price Renewal 2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14:paraId="36B1B5B2" w14:textId="77777777" w:rsidR="00D66770" w:rsidRPr="00F83604" w:rsidRDefault="00D66770" w:rsidP="00F83604">
            <w:pPr>
              <w:ind w:right="-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Monthly Price Renewal 3</w:t>
            </w:r>
          </w:p>
        </w:tc>
      </w:tr>
      <w:tr w:rsidR="00D66770" w:rsidRPr="00097457" w14:paraId="3A12FE4B" w14:textId="77777777" w:rsidTr="00F83604">
        <w:trPr>
          <w:jc w:val="center"/>
        </w:trPr>
        <w:tc>
          <w:tcPr>
            <w:tcW w:w="939" w:type="dxa"/>
          </w:tcPr>
          <w:p w14:paraId="0396A7EA" w14:textId="77777777" w:rsidR="00D66770" w:rsidRPr="00F83604" w:rsidRDefault="00D66770" w:rsidP="00F275E2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3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45F13" w14:textId="00AFA635" w:rsidR="00D66770" w:rsidRPr="00F83604" w:rsidRDefault="00D66770" w:rsidP="00F275E2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1,000</w:t>
            </w: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0360B" w14:textId="77777777" w:rsidR="00D66770" w:rsidRPr="00F83604" w:rsidRDefault="00D66770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710" w:type="dxa"/>
          </w:tcPr>
          <w:p w14:paraId="0A160B2E" w14:textId="77777777" w:rsidR="00D66770" w:rsidRPr="00F83604" w:rsidRDefault="00D66770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710" w:type="dxa"/>
          </w:tcPr>
          <w:p w14:paraId="0AB7AC9F" w14:textId="77777777" w:rsidR="00D66770" w:rsidRPr="00F83604" w:rsidRDefault="00D66770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710" w:type="dxa"/>
          </w:tcPr>
          <w:p w14:paraId="4365F91F" w14:textId="77777777" w:rsidR="00D66770" w:rsidRPr="00F83604" w:rsidRDefault="00D66770" w:rsidP="00F83604">
            <w:pPr>
              <w:ind w:left="76"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D66770" w:rsidRPr="00097457" w14:paraId="7C6C80F8" w14:textId="77777777" w:rsidTr="00F83604">
        <w:trPr>
          <w:jc w:val="center"/>
        </w:trPr>
        <w:tc>
          <w:tcPr>
            <w:tcW w:w="939" w:type="dxa"/>
            <w:shd w:val="clear" w:color="auto" w:fill="FFFFFF"/>
          </w:tcPr>
          <w:p w14:paraId="05B24988" w14:textId="77777777" w:rsidR="00D66770" w:rsidRPr="00F83604" w:rsidRDefault="00D66770" w:rsidP="00F275E2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BA86C" w14:textId="1DC1185E" w:rsidR="00D66770" w:rsidRPr="00F83604" w:rsidRDefault="00D66770" w:rsidP="005031F3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18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8EBAE" w14:textId="77777777" w:rsidR="00D66770" w:rsidRPr="00F83604" w:rsidRDefault="00D66770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710" w:type="dxa"/>
            <w:shd w:val="clear" w:color="auto" w:fill="FFFFFF"/>
          </w:tcPr>
          <w:p w14:paraId="2FB6781C" w14:textId="77777777" w:rsidR="00D66770" w:rsidRPr="00F83604" w:rsidRDefault="00D66770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710" w:type="dxa"/>
            <w:shd w:val="clear" w:color="auto" w:fill="FFFFFF"/>
          </w:tcPr>
          <w:p w14:paraId="062A946E" w14:textId="77777777" w:rsidR="00D66770" w:rsidRPr="00F83604" w:rsidRDefault="00D66770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710" w:type="dxa"/>
            <w:shd w:val="clear" w:color="auto" w:fill="FFFFFF"/>
          </w:tcPr>
          <w:p w14:paraId="2A8CF3AA" w14:textId="77777777" w:rsidR="00D66770" w:rsidRPr="00F83604" w:rsidRDefault="00D66770" w:rsidP="00F83604">
            <w:pPr>
              <w:ind w:left="76"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D66770" w:rsidRPr="00097457" w14:paraId="191D0F42" w14:textId="77777777" w:rsidTr="00F83604">
        <w:trPr>
          <w:jc w:val="center"/>
        </w:trPr>
        <w:tc>
          <w:tcPr>
            <w:tcW w:w="939" w:type="dxa"/>
            <w:shd w:val="clear" w:color="auto" w:fill="FFFFFF"/>
          </w:tcPr>
          <w:p w14:paraId="699C9D7B" w14:textId="77777777" w:rsidR="00D66770" w:rsidRPr="00F83604" w:rsidRDefault="00D66770" w:rsidP="00F275E2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26D66" w14:textId="5FA8F14D" w:rsidR="00D66770" w:rsidRPr="00F83604" w:rsidRDefault="00D66770" w:rsidP="005031F3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600</w:t>
            </w:r>
          </w:p>
        </w:tc>
        <w:tc>
          <w:tcPr>
            <w:tcW w:w="18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BA33E" w14:textId="77777777" w:rsidR="00D66770" w:rsidRPr="00F83604" w:rsidRDefault="00D66770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710" w:type="dxa"/>
            <w:shd w:val="clear" w:color="auto" w:fill="FFFFFF"/>
          </w:tcPr>
          <w:p w14:paraId="03F25C6A" w14:textId="77777777" w:rsidR="00D66770" w:rsidRPr="00F83604" w:rsidRDefault="00D66770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710" w:type="dxa"/>
            <w:shd w:val="clear" w:color="auto" w:fill="FFFFFF"/>
          </w:tcPr>
          <w:p w14:paraId="03D00EA7" w14:textId="77777777" w:rsidR="00D66770" w:rsidRPr="00F83604" w:rsidRDefault="00D66770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710" w:type="dxa"/>
            <w:shd w:val="clear" w:color="auto" w:fill="FFFFFF"/>
          </w:tcPr>
          <w:p w14:paraId="5FCEBC5C" w14:textId="77777777" w:rsidR="00D66770" w:rsidRPr="00F83604" w:rsidRDefault="00D66770" w:rsidP="00F83604">
            <w:pPr>
              <w:ind w:left="76"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D66770" w:rsidRPr="00097457" w14:paraId="66CAE911" w14:textId="77777777" w:rsidTr="00F83604">
        <w:trPr>
          <w:jc w:val="center"/>
        </w:trPr>
        <w:tc>
          <w:tcPr>
            <w:tcW w:w="939" w:type="dxa"/>
            <w:shd w:val="clear" w:color="auto" w:fill="FFFFFF"/>
          </w:tcPr>
          <w:p w14:paraId="0ADF17CB" w14:textId="77777777" w:rsidR="00D66770" w:rsidRPr="00F83604" w:rsidRDefault="00D66770" w:rsidP="00F275E2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07ECB" w14:textId="67D4AE44" w:rsidR="00D66770" w:rsidRPr="00F83604" w:rsidRDefault="00D66770" w:rsidP="005031F3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400 (required)</w:t>
            </w:r>
          </w:p>
        </w:tc>
        <w:tc>
          <w:tcPr>
            <w:tcW w:w="18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D067D" w14:textId="77777777" w:rsidR="00D66770" w:rsidRPr="00F83604" w:rsidRDefault="00D66770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710" w:type="dxa"/>
            <w:shd w:val="clear" w:color="auto" w:fill="FFFFFF"/>
          </w:tcPr>
          <w:p w14:paraId="255ED3F6" w14:textId="77777777" w:rsidR="00D66770" w:rsidRPr="00F83604" w:rsidRDefault="00D66770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710" w:type="dxa"/>
            <w:shd w:val="clear" w:color="auto" w:fill="FFFFFF"/>
          </w:tcPr>
          <w:p w14:paraId="41F64315" w14:textId="77777777" w:rsidR="00D66770" w:rsidRPr="00F83604" w:rsidRDefault="00D66770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710" w:type="dxa"/>
            <w:shd w:val="clear" w:color="auto" w:fill="FFFFFF"/>
          </w:tcPr>
          <w:p w14:paraId="1F7857BE" w14:textId="77777777" w:rsidR="00D66770" w:rsidRPr="00F83604" w:rsidRDefault="00D66770" w:rsidP="00F83604">
            <w:pPr>
              <w:ind w:left="76"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D66770" w:rsidRPr="00097457" w14:paraId="65DAF237" w14:textId="77777777" w:rsidTr="00F83604">
        <w:trPr>
          <w:jc w:val="center"/>
        </w:trPr>
        <w:tc>
          <w:tcPr>
            <w:tcW w:w="939" w:type="dxa"/>
            <w:shd w:val="clear" w:color="auto" w:fill="FFFFFF"/>
          </w:tcPr>
          <w:p w14:paraId="115C113D" w14:textId="77777777" w:rsidR="00D66770" w:rsidRPr="00F83604" w:rsidRDefault="00D66770" w:rsidP="00F275E2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DFF65" w14:textId="5C5EBB7C" w:rsidR="00D66770" w:rsidRPr="00F83604" w:rsidRDefault="00D66770" w:rsidP="005031F3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200 (required)</w:t>
            </w:r>
          </w:p>
        </w:tc>
        <w:tc>
          <w:tcPr>
            <w:tcW w:w="18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B7BF0" w14:textId="77777777" w:rsidR="00D66770" w:rsidRPr="00F83604" w:rsidRDefault="00D66770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710" w:type="dxa"/>
            <w:shd w:val="clear" w:color="auto" w:fill="FFFFFF"/>
          </w:tcPr>
          <w:p w14:paraId="6B9E9381" w14:textId="77777777" w:rsidR="00D66770" w:rsidRPr="00F83604" w:rsidRDefault="00D66770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710" w:type="dxa"/>
            <w:shd w:val="clear" w:color="auto" w:fill="FFFFFF"/>
          </w:tcPr>
          <w:p w14:paraId="3D8DBCAA" w14:textId="77777777" w:rsidR="00D66770" w:rsidRPr="00F83604" w:rsidRDefault="00D66770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710" w:type="dxa"/>
            <w:shd w:val="clear" w:color="auto" w:fill="FFFFFF"/>
          </w:tcPr>
          <w:p w14:paraId="018BA8E4" w14:textId="77777777" w:rsidR="00D66770" w:rsidRPr="00F83604" w:rsidRDefault="00D66770" w:rsidP="00F83604">
            <w:pPr>
              <w:ind w:left="76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</w:tbl>
    <w:p w14:paraId="410825AD" w14:textId="77777777" w:rsidR="00097457" w:rsidRPr="00097457" w:rsidRDefault="00097457" w:rsidP="0015673E">
      <w:pPr>
        <w:tabs>
          <w:tab w:val="left" w:pos="840"/>
        </w:tabs>
        <w:spacing w:before="36" w:line="240" w:lineRule="exact"/>
        <w:ind w:right="360"/>
        <w:jc w:val="both"/>
        <w:rPr>
          <w:rFonts w:ascii="Arial" w:hAnsi="Arial" w:cs="Arial"/>
          <w:sz w:val="20"/>
          <w:szCs w:val="20"/>
        </w:rPr>
      </w:pPr>
    </w:p>
    <w:p w14:paraId="1F7784A4" w14:textId="63AC0649" w:rsidR="007D1F9F" w:rsidRPr="00097457" w:rsidRDefault="007D1F9F" w:rsidP="00D66770">
      <w:pPr>
        <w:pStyle w:val="ListParagraph"/>
        <w:tabs>
          <w:tab w:val="left" w:pos="840"/>
        </w:tabs>
        <w:spacing w:before="36" w:line="240" w:lineRule="exact"/>
        <w:ind w:left="360" w:right="360"/>
        <w:jc w:val="both"/>
        <w:rPr>
          <w:rFonts w:ascii="Arial" w:hAnsi="Arial" w:cs="Arial"/>
        </w:rPr>
      </w:pPr>
    </w:p>
    <w:p w14:paraId="2FEEABE9" w14:textId="77777777" w:rsidR="00E06DD8" w:rsidRPr="00097457" w:rsidRDefault="00E06DD8">
      <w:pPr>
        <w:rPr>
          <w:rFonts w:ascii="Arial" w:hAnsi="Arial" w:cs="Arial"/>
          <w:sz w:val="20"/>
          <w:szCs w:val="20"/>
        </w:rPr>
      </w:pPr>
    </w:p>
    <w:p w14:paraId="2FEEABEA" w14:textId="77777777" w:rsidR="00E06DD8" w:rsidRPr="00097457" w:rsidRDefault="00E06DD8">
      <w:pPr>
        <w:rPr>
          <w:rFonts w:ascii="Arial" w:hAnsi="Arial" w:cs="Arial"/>
          <w:sz w:val="20"/>
          <w:szCs w:val="20"/>
        </w:rPr>
      </w:pPr>
    </w:p>
    <w:sectPr w:rsidR="00E06DD8" w:rsidRPr="00097457" w:rsidSect="00F83604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923593" w14:textId="77777777" w:rsidR="00DA40D3" w:rsidRDefault="00DA40D3" w:rsidP="00DA40D3">
      <w:pPr>
        <w:spacing w:after="0" w:line="240" w:lineRule="auto"/>
      </w:pPr>
      <w:r>
        <w:separator/>
      </w:r>
    </w:p>
  </w:endnote>
  <w:endnote w:type="continuationSeparator" w:id="0">
    <w:p w14:paraId="1C4D6C4F" w14:textId="77777777" w:rsidR="00DA40D3" w:rsidRDefault="00DA40D3" w:rsidP="00DA4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A6A73B" w14:textId="77777777" w:rsidR="00DA40D3" w:rsidRDefault="00DA40D3" w:rsidP="00DA40D3">
      <w:pPr>
        <w:spacing w:after="0" w:line="240" w:lineRule="auto"/>
      </w:pPr>
      <w:r>
        <w:separator/>
      </w:r>
    </w:p>
  </w:footnote>
  <w:footnote w:type="continuationSeparator" w:id="0">
    <w:p w14:paraId="45AFE01E" w14:textId="77777777" w:rsidR="00DA40D3" w:rsidRDefault="00DA40D3" w:rsidP="00DA4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0D6D0" w14:textId="17511551" w:rsidR="00DA40D3" w:rsidRDefault="00DA40D3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CF4D3E"/>
    <w:multiLevelType w:val="hybridMultilevel"/>
    <w:tmpl w:val="7CECD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21423"/>
    <w:multiLevelType w:val="hybridMultilevel"/>
    <w:tmpl w:val="E4182234"/>
    <w:lvl w:ilvl="0" w:tplc="45309C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7B1F8E"/>
    <w:multiLevelType w:val="hybridMultilevel"/>
    <w:tmpl w:val="E4182234"/>
    <w:lvl w:ilvl="0" w:tplc="45309C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DD8"/>
    <w:rsid w:val="0001775F"/>
    <w:rsid w:val="00097457"/>
    <w:rsid w:val="000D0B6B"/>
    <w:rsid w:val="00143055"/>
    <w:rsid w:val="0015673E"/>
    <w:rsid w:val="001C570A"/>
    <w:rsid w:val="002A3344"/>
    <w:rsid w:val="002D0D93"/>
    <w:rsid w:val="003323C1"/>
    <w:rsid w:val="003B4094"/>
    <w:rsid w:val="004E6D4B"/>
    <w:rsid w:val="00502DCA"/>
    <w:rsid w:val="005031F3"/>
    <w:rsid w:val="006D0FE4"/>
    <w:rsid w:val="007D1F9F"/>
    <w:rsid w:val="0091377F"/>
    <w:rsid w:val="009B004D"/>
    <w:rsid w:val="00A87AAC"/>
    <w:rsid w:val="00A9276D"/>
    <w:rsid w:val="00B1724D"/>
    <w:rsid w:val="00B515F2"/>
    <w:rsid w:val="00CD540A"/>
    <w:rsid w:val="00D05D55"/>
    <w:rsid w:val="00D66770"/>
    <w:rsid w:val="00DA40D3"/>
    <w:rsid w:val="00E04A52"/>
    <w:rsid w:val="00E06DD8"/>
    <w:rsid w:val="00E10D99"/>
    <w:rsid w:val="00EE039E"/>
    <w:rsid w:val="00F82BD1"/>
    <w:rsid w:val="00F83604"/>
    <w:rsid w:val="00FB4DFB"/>
    <w:rsid w:val="00FE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EABE8"/>
  <w15:chartTrackingRefBased/>
  <w15:docId w15:val="{62CC6E61-C717-44BD-B30B-CD1C99424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74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567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67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67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67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673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73E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6D0FE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A4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0D3"/>
  </w:style>
  <w:style w:type="paragraph" w:styleId="Footer">
    <w:name w:val="footer"/>
    <w:basedOn w:val="Normal"/>
    <w:link w:val="FooterChar"/>
    <w:uiPriority w:val="99"/>
    <w:unhideWhenUsed/>
    <w:rsid w:val="00DA4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uyer xmlns="145fd85a-e86f-4392-ab15-fd3ffc15a3e1">
      <UserInfo>
        <DisplayName>Keith Roland</DisplayName>
        <AccountId>1855</AccountId>
        <AccountType/>
      </UserInfo>
    </Buyer>
    <Legal_x0020_Approval xmlns="e3709f45-ee57-4ddf-8078-855eb8d761aa" xsi:nil="true"/>
    <Programs xmlns="145fd85a-e86f-4392-ab15-fd3ffc15a3e1" xsi:nil="true"/>
    <Deviation xmlns="145fd85a-e86f-4392-ab15-fd3ffc15a3e1">No</Deviation>
    <Contract_x0020_Exp._x0020_Date xmlns="145fd85a-e86f-4392-ab15-fd3ffc15a3e1" xsi:nil="true"/>
    <E1_x0020__x0023_ xmlns="145fd85a-e86f-4392-ab15-fd3ffc15a3e1" xsi:nil="true"/>
    <DAS_x0020_Status xmlns="145fd85a-e86f-4392-ab15-fd3ffc15a3e1" xsi:nil="true"/>
    <DocumentSetDescription xmlns="http://schemas.microsoft.com/sharepoint/v3" xsi:nil="true"/>
    <Stakeholders xmlns="145fd85a-e86f-4392-ab15-fd3ffc15a3e1">
      <UserInfo>
        <DisplayName>Holly Glasgow</DisplayName>
        <AccountId>18441</AccountId>
        <AccountType/>
      </UserInfo>
      <UserInfo>
        <DisplayName>Jeff Fry</DisplayName>
        <AccountId>20148</AccountId>
        <AccountType/>
      </UserInfo>
      <UserInfo>
        <DisplayName>Marie De Martinez</DisplayName>
        <AccountId>20385</AccountId>
        <AccountType/>
      </UserInfo>
    </Stakeholders>
    <Est._x0020__x0024__x0020_Amount xmlns="145fd85a-e86f-4392-ab15-fd3ffc15a3e1" xsi:nil="true"/>
    <Funding_x0020_Source xmlns="145fd85a-e86f-4392-ab15-fd3ffc15a3e1" xsi:nil="true"/>
    <Bid_x0020_Type xmlns="145fd85a-e86f-4392-ab15-fd3ffc15a3e1">RFP</Bid_x0020_Type>
    <RFP_x0020_Contacts xmlns="145fd85a-e86f-4392-ab15-fd3ffc15a3e1">
      <UserInfo>
        <DisplayName/>
        <AccountId xsi:nil="true"/>
        <AccountType/>
      </UserInfo>
    </RFP_x0020_Contacts>
    <DAS_x0020_Buyer xmlns="145fd85a-e86f-4392-ab15-fd3ffc15a3e1" xsi:nil="true"/>
    <Procurement_x0020_Contact xmlns="145fd85a-e86f-4392-ab15-fd3ffc15a3e1" xsi:nil="true"/>
    <Divisions xmlns="145fd85a-e86f-4392-ab15-fd3ffc15a3e1">
      <Value>Public Health</Value>
    </Divisions>
    <RFP_x0020_Status xmlns="145fd85a-e86f-4392-ab15-fd3ffc15a3e1">Legal Review</RFP_x0020_Status>
    <Target_x0020_Date xmlns="145fd85a-e86f-4392-ab15-fd3ffc15a3e1" xsi:nil="true"/>
    <SPB_x0020_Processed xmlns="145fd85a-e86f-4392-ab15-fd3ffc15a3e1">SPB</SPB_x0020_Processed>
    <Date_x0020_Sent_x0020_for_x0020_PROC_x0020_Review xmlns="145fd85a-e86f-4392-ab15-fd3ffc15a3e1" xsi:nil="true"/>
    <Release_x0020_Date xmlns="145fd85a-e86f-4392-ab15-fd3ffc15a3e1" xsi:nil="true"/>
    <Cost_x0020_Avoidance xmlns="145fd85a-e86f-4392-ab15-fd3ffc15a3e1" xsi:nil="true"/>
    <Cost_x0020_Avoidance_x0020_Method xmlns="145fd85a-e86f-4392-ab15-fd3ffc15a3e1" xsi:nil="true"/>
    <Attachments_x003f_ xmlns="145fd85a-e86f-4392-ab15-fd3ffc15a3e1">Yes, Final Document</Attachments_x003f_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4C9DE180D87D43A76FB431772754C3" ma:contentTypeVersion="18" ma:contentTypeDescription="Create a new document." ma:contentTypeScope="" ma:versionID="9b853ea320ddb753ea8dddb939f21146">
  <xsd:schema xmlns:xsd="http://www.w3.org/2001/XMLSchema" xmlns:xs="http://www.w3.org/2001/XMLSchema" xmlns:p="http://schemas.microsoft.com/office/2006/metadata/properties" xmlns:ns1="http://schemas.microsoft.com/sharepoint/v3" xmlns:ns2="145fd85a-e86f-4392-ab15-fd3ffc15a3e1" xmlns:ns3="e3709f45-ee57-4ddf-8078-855eb8d761aa" targetNamespace="http://schemas.microsoft.com/office/2006/metadata/properties" ma:root="true" ma:fieldsID="4007fd856adc27ebd3b5e501f9ddec0c" ns1:_="" ns2:_="" ns3:_="">
    <xsd:import namespace="http://schemas.microsoft.com/sharepoint/v3"/>
    <xsd:import namespace="145fd85a-e86f-4392-ab15-fd3ffc15a3e1"/>
    <xsd:import namespace="e3709f45-ee57-4ddf-8078-855eb8d761aa"/>
    <xsd:element name="properties">
      <xsd:complexType>
        <xsd:sequence>
          <xsd:element name="documentManagement">
            <xsd:complexType>
              <xsd:all>
                <xsd:element ref="ns2:Attachments_x003f_" minOccurs="0"/>
                <xsd:element ref="ns3:Legal_x0020_Approval" minOccurs="0"/>
                <xsd:element ref="ns2:Target_x0020_Date" minOccurs="0"/>
                <xsd:element ref="ns2:Contract_x0020_Exp._x0020_Date" minOccurs="0"/>
                <xsd:element ref="ns2:E1_x0020__x0023_" minOccurs="0"/>
                <xsd:element ref="ns2:Deviation" minOccurs="0"/>
                <xsd:element ref="ns2:Est._x0020__x0024__x0020_Amount" minOccurs="0"/>
                <xsd:element ref="ns2:DAS_x0020_Status" minOccurs="0"/>
                <xsd:element ref="ns2:Divisions" minOccurs="0"/>
                <xsd:element ref="ns1:DocumentSetDescription" minOccurs="0"/>
                <xsd:element ref="ns2:DAS_x0020_Buyer" minOccurs="0"/>
                <xsd:element ref="ns2:SPB_x0020_Processed" minOccurs="0"/>
                <xsd:element ref="ns2:Bid_x0020_Type" minOccurs="0"/>
                <xsd:element ref="ns2:Programs" minOccurs="0"/>
                <xsd:element ref="ns2:RFP_x0020_Contacts" minOccurs="0"/>
                <xsd:element ref="ns2:Buyer" minOccurs="0"/>
                <xsd:element ref="ns2:Stakeholders" minOccurs="0"/>
                <xsd:element ref="ns2:RFP_x0020_Status" minOccurs="0"/>
                <xsd:element ref="ns2:Funding_x0020_Source" minOccurs="0"/>
                <xsd:element ref="ns2:Procurement_x0020_Contact" minOccurs="0"/>
                <xsd:element ref="ns2:Procurement_x0020_Contact_x003a_E-mail_x0020_Address" minOccurs="0"/>
                <xsd:element ref="ns2:Date_x0020_Sent_x0020_for_x0020_PROC_x0020_Review" minOccurs="0"/>
                <xsd:element ref="ns2:Release_x0020_Date" minOccurs="0"/>
                <xsd:element ref="ns2:Cost_x0020_Avoidance_x0020_Method" minOccurs="0"/>
                <xsd:element ref="ns2:Cost_x0020_Avoidan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8" nillable="true" ma:displayName="Description" ma:description="Short description of services being requested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fd85a-e86f-4392-ab15-fd3ffc15a3e1" elementFormDefault="qualified">
    <xsd:import namespace="http://schemas.microsoft.com/office/2006/documentManagement/types"/>
    <xsd:import namespace="http://schemas.microsoft.com/office/infopath/2007/PartnerControls"/>
    <xsd:element name="Attachments_x003f_" ma:index="8" nillable="true" ma:displayName="Final Attachment" ma:description="Does this attachment need to be included with final version?" ma:format="Dropdown" ma:internalName="Attachments_x003F_">
      <xsd:simpleType>
        <xsd:restriction base="dms:Choice">
          <xsd:enumeration value="Yes, Final Document"/>
          <xsd:enumeration value="No, But Retain Here"/>
          <xsd:enumeration value="Supporting Information"/>
          <xsd:enumeration value="To Be Removed"/>
        </xsd:restriction>
      </xsd:simpleType>
    </xsd:element>
    <xsd:element name="Target_x0020_Date" ma:index="11" nillable="true" ma:displayName="Target Date" ma:description="Date targeted for all internal reviews/approvals to be completed, anticipated date to be sent to SPB for review/posting" ma:format="DateOnly" ma:internalName="Target_x0020_Date" ma:readOnly="false">
      <xsd:simpleType>
        <xsd:restriction base="dms:DateTime"/>
      </xsd:simpleType>
    </xsd:element>
    <xsd:element name="Contract_x0020_Exp._x0020_Date" ma:index="12" nillable="true" ma:displayName="Contract Exp. Date" ma:description="If an existing contract is in place the date in which it expires" ma:format="DateOnly" ma:internalName="Contract_x0020_Exp_x002e__x0020_Date" ma:readOnly="false">
      <xsd:simpleType>
        <xsd:restriction base="dms:DateTime"/>
      </xsd:simpleType>
    </xsd:element>
    <xsd:element name="E1_x0020__x0023_" ma:index="13" nillable="true" ma:displayName="E1 #" ma:description="List of any document numbers used within E1, separate numbers and doc type with a period &quot;.&quot;" ma:internalName="E1_x0020__x0023_" ma:readOnly="false">
      <xsd:simpleType>
        <xsd:restriction base="dms:Text">
          <xsd:maxLength value="255"/>
        </xsd:restriction>
      </xsd:simpleType>
    </xsd:element>
    <xsd:element name="Deviation" ma:index="14" nillable="true" ma:displayName="Deviation" ma:description="Type of Deviation" ma:format="Dropdown" ma:internalName="Deviation" ma:readOnly="false">
      <xsd:simpleType>
        <xsd:restriction base="dms:Choice">
          <xsd:enumeration value="Yes"/>
          <xsd:enumeration value="No"/>
          <xsd:enumeration value="True"/>
          <xsd:enumeration value="False"/>
          <xsd:enumeration value="Sole Source (location)"/>
          <xsd:enumeration value="Sole Source (uniqueness)"/>
          <xsd:enumeration value="Emergency"/>
          <xsd:enumeration value="Emergency (DHHS new policy)"/>
          <xsd:enumeration value="GSA"/>
          <xsd:enumeration value="Coop or CompBid Add on"/>
          <xsd:enumeration value="Other"/>
        </xsd:restriction>
      </xsd:simpleType>
    </xsd:element>
    <xsd:element name="Est._x0020__x0024__x0020_Amount" ma:index="15" nillable="true" ma:displayName="Est. $ Amount" ma:description="Estimated total value - including all optional renewal years" ma:LCID="1033" ma:internalName="Est_x002e__x0020__x0024__x0020_Amount" ma:readOnly="false">
      <xsd:simpleType>
        <xsd:restriction base="dms:Currency"/>
      </xsd:simpleType>
    </xsd:element>
    <xsd:element name="DAS_x0020_Status" ma:index="16" nillable="true" ma:displayName="DAS Status" ma:description="DHHS Internal Status" ma:format="Dropdown" ma:internalName="DAS_x0020_Status" ma:readOnly="false">
      <xsd:simpleType>
        <xsd:restriction base="dms:Choice">
          <xsd:enumeration value="DAS Review"/>
          <xsd:enumeration value="Bid Posted"/>
          <xsd:enumeration value="Q &amp; A Period"/>
          <xsd:enumeration value="Amended Bid"/>
          <xsd:enumeration value="Bid Closed"/>
          <xsd:enumeration value="Tech Evaluations"/>
          <xsd:enumeration value="Cost Evaluations"/>
          <xsd:enumeration value="Award Recommend Sent"/>
          <xsd:enumeration value="Protested"/>
          <xsd:enumeration value="Awarded"/>
          <xsd:enumeration value="Rejected"/>
        </xsd:restriction>
      </xsd:simpleType>
    </xsd:element>
    <xsd:element name="Divisions" ma:index="17" nillable="true" ma:displayName="Divisions" ma:description="Field used in Competitive Procurement - RFPS" ma:internalName="Division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havioral Health"/>
                    <xsd:enumeration value="Child &amp; Family Services"/>
                    <xsd:enumeration value="Developmental Disabilities"/>
                    <xsd:enumeration value="Public Health"/>
                    <xsd:enumeration value="MLTC"/>
                    <xsd:enumeration value="Operations"/>
                  </xsd:restriction>
                </xsd:simpleType>
              </xsd:element>
            </xsd:sequence>
          </xsd:extension>
        </xsd:complexContent>
      </xsd:complexType>
    </xsd:element>
    <xsd:element name="DAS_x0020_Buyer" ma:index="19" nillable="true" ma:displayName="DAS Buyer" ma:description="State Purchasing Buyer Assignment" ma:internalName="DAS_x0020_Buyer" ma:readOnly="false">
      <xsd:simpleType>
        <xsd:restriction base="dms:Text">
          <xsd:maxLength value="255"/>
        </xsd:restriction>
      </xsd:simpleType>
    </xsd:element>
    <xsd:element name="SPB_x0020_Processed" ma:index="20" nillable="true" ma:displayName="Processed By" ma:default="SPB" ma:description="Defaults to SPB (State Purchasing). In some instances item(s) may be processed by agency (this is rare and requires additional approval)" ma:format="Dropdown" ma:internalName="SPB_x0020_Processed" ma:readOnly="false">
      <xsd:simpleType>
        <xsd:restriction base="dms:Choice">
          <xsd:enumeration value="SPB"/>
          <xsd:enumeration value="Agency"/>
        </xsd:restriction>
      </xsd:simpleType>
    </xsd:element>
    <xsd:element name="Bid_x0020_Type" ma:index="21" nillable="true" ma:displayName="Bid Type" ma:format="Dropdown" ma:internalName="Bid_x0020_Type" ma:readOnly="false">
      <xsd:simpleType>
        <xsd:restriction base="dms:Choice">
          <xsd:enumeration value="Draft RFP"/>
          <xsd:enumeration value="RFP"/>
          <xsd:enumeration value="RFP Cost Only"/>
          <xsd:enumeration value="RFI"/>
          <xsd:enumeration value="ITB"/>
          <xsd:enumeration value="Deviation"/>
          <xsd:enumeration value="POOL"/>
          <xsd:enumeration value="Future"/>
        </xsd:restriction>
      </xsd:simpleType>
    </xsd:element>
    <xsd:element name="Programs" ma:index="22" nillable="true" ma:displayName="Programs" ma:description="Do not include division name, specific program(s) impacted" ma:internalName="Programs" ma:readOnly="false">
      <xsd:simpleType>
        <xsd:restriction base="dms:Text">
          <xsd:maxLength value="255"/>
        </xsd:restriction>
      </xsd:simpleType>
    </xsd:element>
    <xsd:element name="RFP_x0020_Contacts" ma:index="23" nillable="true" ma:displayName="Bid Contacts" ma:description="Primary Division Contact(s). Updates, Questions, Meetings, etc managed by those listed here." ma:list="UserInfo" ma:SharePointGroup="0" ma:internalName="RFP_x0020_Contact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uyer" ma:index="24" nillable="true" ma:displayName="Buyer" ma:description="DHHS Buyer assignment - UPDATED BY PROCUREMENT ONLY" ma:list="UserInfo" ma:SharePointGroup="0" ma:internalName="Buy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keholders" ma:index="25" nillable="true" ma:displayName="Contributors" ma:description="Any person(s) that will be involved in the review/editing of documents, to include evaluators, approvers, division contacts, etc. All internal parties must be listed here AND on the DHHS checklist" ma:list="UserInfo" ma:SharePointGroup="0" ma:internalName="Stakehold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FP_x0020_Status" ma:index="26" nillable="true" ma:displayName="DHHS Status" ma:description="DHHS Internal Status" ma:format="Dropdown" ma:internalName="RFP_x0020_Status" ma:readOnly="false">
      <xsd:simpleType>
        <xsd:restriction base="dms:Choice">
          <xsd:enumeration value="Drafting"/>
          <xsd:enumeration value="Procurement Review"/>
          <xsd:enumeration value="Legal Review"/>
          <xsd:enumeration value="Return for Edit"/>
          <xsd:enumeration value="OK to Load"/>
          <xsd:enumeration value="Deviation Review"/>
          <xsd:enumeration value="Out for Signature"/>
          <xsd:enumeration value="with DAS"/>
          <xsd:enumeration value="Completed"/>
          <xsd:enumeration value="Rejected"/>
          <xsd:enumeration value="ON HOLD"/>
        </xsd:restriction>
      </xsd:simpleType>
    </xsd:element>
    <xsd:element name="Funding_x0020_Source" ma:index="27" nillable="true" ma:displayName="Funding Source" ma:description="Type of funds to be used. For Cash/General funds select State" ma:format="Dropdown" ma:internalName="Funding_x0020_Source" ma:readOnly="false">
      <xsd:simpleType>
        <xsd:restriction base="dms:Choice">
          <xsd:enumeration value="state funds"/>
          <xsd:enumeration value="federal funds"/>
          <xsd:enumeration value="state and federal funds"/>
        </xsd:restriction>
      </xsd:simpleType>
    </xsd:element>
    <xsd:element name="Procurement_x0020_Contact" ma:index="28" nillable="true" ma:displayName="Procurement Contact" ma:list="{0ff31e51-d13c-4777-8ff6-56a65292f0cd}" ma:internalName="Procurement_x0020_Contact" ma:readOnly="false" ma:showField="FullName" ma:web="145fd85a-e86f-4392-ab15-fd3ffc15a3e1">
      <xsd:simpleType>
        <xsd:restriction base="dms:Lookup"/>
      </xsd:simpleType>
    </xsd:element>
    <xsd:element name="Procurement_x0020_Contact_x003a_E-mail_x0020_Address" ma:index="29" nillable="true" ma:displayName="Procurement Contact:E-mail Address" ma:list="{0ff31e51-d13c-4777-8ff6-56a65292f0cd}" ma:internalName="Procurement_x0020_Contact_x003A_E_x002d_mail_x0020_Address" ma:readOnly="true" ma:showField="Email" ma:web="145fd85a-e86f-4392-ab15-fd3ffc15a3e1">
      <xsd:simpleType>
        <xsd:restriction base="dms:Lookup"/>
      </xsd:simpleType>
    </xsd:element>
    <xsd:element name="Date_x0020_Sent_x0020_for_x0020_PROC_x0020_Review" ma:index="30" nillable="true" ma:displayName="Date Sent for PROC Review" ma:description="PROCUREMNET UPDATE ONLY!&#10;Date request was initially sent to Procurement for review." ma:format="DateOnly" ma:internalName="Date_x0020_Sent_x0020_for_x0020_PROC_x0020_Review" ma:readOnly="false">
      <xsd:simpleType>
        <xsd:restriction base="dms:DateTime"/>
      </xsd:simpleType>
    </xsd:element>
    <xsd:element name="Release_x0020_Date" ma:index="31" nillable="true" ma:displayName="Release Date" ma:description="Competitive Process Release Date (RFP, RFA, RFQ, ITB, etc)" ma:format="DateOnly" ma:internalName="Release_x0020_Date" ma:readOnly="false">
      <xsd:simpleType>
        <xsd:restriction base="dms:DateTime"/>
      </xsd:simpleType>
    </xsd:element>
    <xsd:element name="Cost_x0020_Avoidance_x0020_Method" ma:index="32" nillable="true" ma:displayName="Cost Avoidance Method" ma:description="Method utilized to determine cost avoidance/savings figure" ma:internalName="Cost_x0020_Avoidance_x0020_Method" ma:readOnly="false">
      <xsd:simpleType>
        <xsd:restriction base="dms:Text">
          <xsd:maxLength value="255"/>
        </xsd:restriction>
      </xsd:simpleType>
    </xsd:element>
    <xsd:element name="Cost_x0020_Avoidance" ma:index="33" nillable="true" ma:displayName="Cost Avoidance" ma:description="Cost avoidance/saving amount" ma:LCID="1033" ma:internalName="Cost_x0020_Avoidance" ma:readOnly="false">
      <xsd:simpleType>
        <xsd:restriction base="dms:Currency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09f45-ee57-4ddf-8078-855eb8d761aa" elementFormDefault="qualified">
    <xsd:import namespace="http://schemas.microsoft.com/office/2006/documentManagement/types"/>
    <xsd:import namespace="http://schemas.microsoft.com/office/infopath/2007/PartnerControls"/>
    <xsd:element name="Legal_x0020_Approval" ma:index="9" nillable="true" ma:displayName="Legal Approval" ma:description="Updated by Legal Services ONLY." ma:format="Dropdown" ma:internalName="Legal_x0020_Approval">
      <xsd:simpleType>
        <xsd:restriction base="dms:Choice">
          <xsd:enumeration value="AS-IS"/>
          <xsd:enumeration value="With Changes"/>
          <xsd:enumeration value="Required 2nd Review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10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926EB4-9922-43EA-A6C4-D0A0896FE9F9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DA17958B-CC9C-4392-9876-37812BF185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F9BB4A-A959-4DC1-9760-FDB5CC87BF4E}">
  <ds:schemaRefs>
    <ds:schemaRef ds:uri="http://purl.org/dc/terms/"/>
    <ds:schemaRef ds:uri="http://schemas.microsoft.com/office/2006/documentManagement/types"/>
    <ds:schemaRef ds:uri="e3709f45-ee57-4ddf-8078-855eb8d761aa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openxmlformats.org/package/2006/metadata/core-properties"/>
    <ds:schemaRef ds:uri="145fd85a-e86f-4392-ab15-fd3ffc15a3e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84534D1-0DFE-451E-A4EC-F5F0307CD0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45fd85a-e86f-4392-ab15-fd3ffc15a3e1"/>
    <ds:schemaRef ds:uri="e3709f45-ee57-4ddf-8078-855eb8d76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Cost Sheet.docx</vt:lpstr>
    </vt:vector>
  </TitlesOfParts>
  <Company>State of Nebraska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Cost Sheet.docx</dc:title>
  <dc:subject/>
  <dc:creator>Sarah Rowe</dc:creator>
  <cp:keywords/>
  <dc:description/>
  <cp:lastModifiedBy>Heinrichs, Connie</cp:lastModifiedBy>
  <cp:revision>3</cp:revision>
  <dcterms:created xsi:type="dcterms:W3CDTF">2020-11-12T19:18:00Z</dcterms:created>
  <dcterms:modified xsi:type="dcterms:W3CDTF">2020-11-12T19:20:00Z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0x010100364C9DE180D87D43A76FB431772754C3</vt:lpwstr>
  </property>
  <property fmtid="{D5CDD505-2E9C-101B-9397-08002B2CF9AE}" pid="3" name="_docset_NoMedatataSyncRequired">
    <vt:lpwstr>False</vt:lpwstr>
  </property>
</Properties>
</file>